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8E4DB" w14:textId="77777777" w:rsidR="004330AA" w:rsidRPr="00DF65D5" w:rsidRDefault="003E401F" w:rsidP="003E401F">
      <w:pPr>
        <w:spacing w:after="120"/>
        <w:rPr>
          <w:sz w:val="28"/>
          <w:szCs w:val="28"/>
        </w:rPr>
      </w:pPr>
      <w:bookmarkStart w:id="0" w:name="_GoBack"/>
      <w:r>
        <w:rPr>
          <w:caps/>
          <w:sz w:val="28"/>
          <w:szCs w:val="28"/>
        </w:rPr>
        <w:t xml:space="preserve">CGT                </w:t>
      </w:r>
      <w:r w:rsidR="0013696F">
        <w:rPr>
          <w:caps/>
          <w:sz w:val="28"/>
          <w:szCs w:val="28"/>
        </w:rPr>
        <w:t xml:space="preserve">    </w:t>
      </w:r>
      <w:r w:rsidR="004330AA" w:rsidRPr="0013696F">
        <w:rPr>
          <w:b/>
          <w:caps/>
          <w:sz w:val="28"/>
          <w:szCs w:val="28"/>
        </w:rPr>
        <w:t>Indemnité de RESIDENCE</w:t>
      </w:r>
      <w:r w:rsidR="004330AA" w:rsidRPr="004330AA">
        <w:rPr>
          <w:caps/>
          <w:sz w:val="28"/>
          <w:szCs w:val="28"/>
        </w:rPr>
        <w:t xml:space="preserve"> </w:t>
      </w:r>
      <w:r w:rsidR="00DF65D5" w:rsidRPr="00DF65D5">
        <w:rPr>
          <w:sz w:val="28"/>
          <w:szCs w:val="28"/>
        </w:rPr>
        <w:t>(</w:t>
      </w:r>
      <w:r w:rsidR="007829D1">
        <w:rPr>
          <w:sz w:val="28"/>
          <w:szCs w:val="28"/>
        </w:rPr>
        <w:t>dite «</w:t>
      </w:r>
      <w:r w:rsidR="00DF65D5" w:rsidRPr="00DF65D5">
        <w:rPr>
          <w:sz w:val="28"/>
          <w:szCs w:val="28"/>
        </w:rPr>
        <w:t xml:space="preserve">prime de vie </w:t>
      </w:r>
      <w:r w:rsidR="00DF65D5">
        <w:rPr>
          <w:sz w:val="28"/>
          <w:szCs w:val="28"/>
        </w:rPr>
        <w:t>chère»</w:t>
      </w:r>
      <w:r w:rsidR="00DF65D5" w:rsidRPr="00DF65D5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="0013696F">
        <w:rPr>
          <w:sz w:val="28"/>
          <w:szCs w:val="28"/>
        </w:rPr>
        <w:t xml:space="preserve">    </w:t>
      </w:r>
      <w:r>
        <w:rPr>
          <w:sz w:val="28"/>
          <w:szCs w:val="28"/>
        </w:rPr>
        <w:t>UGICT-CGT</w:t>
      </w:r>
    </w:p>
    <w:p w14:paraId="2EE0579D" w14:textId="77777777" w:rsidR="004330AA" w:rsidRPr="0013696F" w:rsidRDefault="00483D45" w:rsidP="00CD7FDB">
      <w:pPr>
        <w:spacing w:after="120"/>
        <w:jc w:val="center"/>
        <w:rPr>
          <w:b/>
          <w:caps/>
          <w:sz w:val="28"/>
          <w:szCs w:val="28"/>
        </w:rPr>
      </w:pPr>
      <w:r w:rsidRPr="0013696F">
        <w:rPr>
          <w:b/>
          <w:caps/>
          <w:sz w:val="28"/>
          <w:szCs w:val="28"/>
        </w:rPr>
        <w:t>PETITION POUR L’OUVERTURE DE NEGOCIATION</w:t>
      </w:r>
      <w:r w:rsidR="004330AA" w:rsidRPr="0013696F">
        <w:rPr>
          <w:b/>
          <w:caps/>
          <w:sz w:val="28"/>
          <w:szCs w:val="28"/>
        </w:rPr>
        <w:t>S</w:t>
      </w:r>
    </w:p>
    <w:p w14:paraId="6F8DE265" w14:textId="77777777" w:rsidR="00775C68" w:rsidRPr="004330AA" w:rsidRDefault="00775C68" w:rsidP="00CD7FDB">
      <w:pPr>
        <w:spacing w:after="120"/>
        <w:jc w:val="both"/>
        <w:rPr>
          <w:sz w:val="24"/>
          <w:szCs w:val="24"/>
        </w:rPr>
      </w:pPr>
      <w:r w:rsidRPr="004330AA">
        <w:rPr>
          <w:sz w:val="24"/>
          <w:szCs w:val="24"/>
        </w:rPr>
        <w:t xml:space="preserve">Nous rentrons dans une nouvelle période de négociation sur divers sujets (intégration </w:t>
      </w:r>
      <w:r w:rsidRPr="004330AA">
        <w:rPr>
          <w:caps/>
          <w:sz w:val="24"/>
          <w:szCs w:val="24"/>
        </w:rPr>
        <w:t>ccvrp</w:t>
      </w:r>
      <w:r w:rsidRPr="004330AA">
        <w:rPr>
          <w:sz w:val="24"/>
          <w:szCs w:val="24"/>
        </w:rPr>
        <w:t>, accompagnement URSSAF 2020, etc…) pour laquelle la direction a proposé un calendrier du 5/04 au 11 juillet 2018.</w:t>
      </w:r>
    </w:p>
    <w:p w14:paraId="31333E05" w14:textId="77777777" w:rsidR="007829D1" w:rsidRDefault="00775C68" w:rsidP="007829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330AA">
        <w:rPr>
          <w:sz w:val="24"/>
          <w:szCs w:val="24"/>
        </w:rPr>
        <w:t>N</w:t>
      </w:r>
      <w:r w:rsidR="00C77CE6" w:rsidRPr="004330AA">
        <w:rPr>
          <w:sz w:val="24"/>
          <w:szCs w:val="24"/>
        </w:rPr>
        <w:t xml:space="preserve">ous savons </w:t>
      </w:r>
      <w:r w:rsidRPr="004330AA">
        <w:rPr>
          <w:sz w:val="24"/>
          <w:szCs w:val="24"/>
        </w:rPr>
        <w:t>d’ores</w:t>
      </w:r>
      <w:r w:rsidR="00C77CE6" w:rsidRPr="004330AA">
        <w:rPr>
          <w:sz w:val="24"/>
          <w:szCs w:val="24"/>
        </w:rPr>
        <w:t xml:space="preserve"> et déjà qu’environ 2</w:t>
      </w:r>
      <w:r w:rsidRPr="004330AA">
        <w:rPr>
          <w:sz w:val="24"/>
          <w:szCs w:val="24"/>
        </w:rPr>
        <w:t>5</w:t>
      </w:r>
      <w:r w:rsidR="00C77CE6" w:rsidRPr="004330AA">
        <w:rPr>
          <w:sz w:val="24"/>
          <w:szCs w:val="24"/>
        </w:rPr>
        <w:t>0 salariés ex.RSI intègreront l’URSSAF IDF au 1</w:t>
      </w:r>
      <w:r w:rsidR="00C77CE6" w:rsidRPr="004330AA">
        <w:rPr>
          <w:sz w:val="24"/>
          <w:szCs w:val="24"/>
          <w:vertAlign w:val="superscript"/>
        </w:rPr>
        <w:t>er</w:t>
      </w:r>
      <w:r w:rsidR="00C77CE6" w:rsidRPr="004330AA">
        <w:rPr>
          <w:sz w:val="24"/>
          <w:szCs w:val="24"/>
        </w:rPr>
        <w:t xml:space="preserve"> janvier 2020. </w:t>
      </w:r>
      <w:r w:rsidR="005C7E42" w:rsidRPr="004330AA">
        <w:rPr>
          <w:sz w:val="24"/>
          <w:szCs w:val="24"/>
        </w:rPr>
        <w:t>Dans leur CCN ils bénéficient d’une indemnité mensuelle de résident équivalente à 20 points.</w:t>
      </w:r>
    </w:p>
    <w:p w14:paraId="15DF0D13" w14:textId="77777777" w:rsidR="00CD7FDB" w:rsidRPr="00CD7FDB" w:rsidRDefault="00CD7FDB" w:rsidP="007829D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90561C7" w14:textId="77777777" w:rsidR="007829D1" w:rsidRPr="00CD7FDB" w:rsidRDefault="007829D1" w:rsidP="0078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D7FDB">
        <w:rPr>
          <w:rFonts w:ascii="Arial" w:hAnsi="Arial" w:cs="Arial"/>
          <w:b/>
          <w:bCs/>
          <w:sz w:val="24"/>
          <w:szCs w:val="24"/>
        </w:rPr>
        <w:t>Convention collective</w:t>
      </w:r>
    </w:p>
    <w:p w14:paraId="4E84DAE5" w14:textId="77777777" w:rsidR="007829D1" w:rsidRPr="007829D1" w:rsidRDefault="007829D1" w:rsidP="0078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829D1">
        <w:rPr>
          <w:rFonts w:ascii="Arial" w:hAnsi="Arial" w:cs="Arial"/>
          <w:b/>
          <w:bCs/>
          <w:color w:val="000000"/>
        </w:rPr>
        <w:t>RÉGIME SOCIAL DES INDÉPENDANTS (employés et cadres) (20 mars 2008)</w:t>
      </w:r>
    </w:p>
    <w:p w14:paraId="59CE6798" w14:textId="77777777" w:rsidR="007829D1" w:rsidRPr="007829D1" w:rsidRDefault="007829D1" w:rsidP="0078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9D1">
        <w:rPr>
          <w:rFonts w:ascii="Arial" w:hAnsi="Arial" w:cs="Arial"/>
          <w:b/>
          <w:bCs/>
          <w:sz w:val="20"/>
          <w:szCs w:val="20"/>
        </w:rPr>
        <w:t xml:space="preserve"> Indemnité de résidence</w:t>
      </w:r>
    </w:p>
    <w:p w14:paraId="5E691B57" w14:textId="77777777" w:rsidR="007829D1" w:rsidRPr="007829D1" w:rsidRDefault="007829D1" w:rsidP="0078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9D1">
        <w:rPr>
          <w:rFonts w:ascii="Arial" w:hAnsi="Arial" w:cs="Arial"/>
          <w:sz w:val="20"/>
          <w:szCs w:val="20"/>
        </w:rPr>
        <w:t>Article 7</w:t>
      </w:r>
      <w:r w:rsidR="00CD7FDB">
        <w:rPr>
          <w:rFonts w:ascii="Arial" w:hAnsi="Arial" w:cs="Arial"/>
          <w:sz w:val="20"/>
          <w:szCs w:val="20"/>
        </w:rPr>
        <w:t xml:space="preserve">- </w:t>
      </w:r>
      <w:r w:rsidRPr="007829D1">
        <w:rPr>
          <w:rFonts w:ascii="Arial" w:hAnsi="Arial" w:cs="Arial"/>
          <w:sz w:val="20"/>
          <w:szCs w:val="20"/>
        </w:rPr>
        <w:t>En vigueur non étendu</w:t>
      </w:r>
    </w:p>
    <w:p w14:paraId="014AD2BE" w14:textId="77777777" w:rsidR="007829D1" w:rsidRPr="007829D1" w:rsidRDefault="007829D1" w:rsidP="0078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9D1">
        <w:rPr>
          <w:rFonts w:ascii="Arial" w:hAnsi="Arial" w:cs="Arial"/>
          <w:sz w:val="20"/>
          <w:szCs w:val="20"/>
        </w:rPr>
        <w:t>L'indemnité de résidence s'applique aux salariés travaillant ou résidant effectivement dans un cadre géographique impliquant des dépenses de logement et</w:t>
      </w:r>
      <w:r w:rsidR="00FA24A5">
        <w:rPr>
          <w:rFonts w:ascii="Arial" w:hAnsi="Arial" w:cs="Arial"/>
          <w:sz w:val="20"/>
          <w:szCs w:val="20"/>
        </w:rPr>
        <w:t xml:space="preserve"> </w:t>
      </w:r>
      <w:r w:rsidRPr="007829D1">
        <w:rPr>
          <w:rFonts w:ascii="Arial" w:hAnsi="Arial" w:cs="Arial"/>
          <w:sz w:val="20"/>
          <w:szCs w:val="20"/>
        </w:rPr>
        <w:t>résidence particulièrement élevées.</w:t>
      </w:r>
    </w:p>
    <w:p w14:paraId="2E837959" w14:textId="77777777" w:rsidR="007829D1" w:rsidRPr="007829D1" w:rsidRDefault="007829D1" w:rsidP="0078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9D1">
        <w:rPr>
          <w:rFonts w:ascii="Arial" w:hAnsi="Arial" w:cs="Arial"/>
          <w:sz w:val="20"/>
          <w:szCs w:val="20"/>
        </w:rPr>
        <w:t>L'indemnité de résidence s'applique aux salariés d'Ile-de-France, ou des départements d'outre-mer, dans les conditions suivantes :</w:t>
      </w:r>
    </w:p>
    <w:p w14:paraId="04D31943" w14:textId="77777777" w:rsidR="007829D1" w:rsidRPr="007829D1" w:rsidRDefault="007829D1" w:rsidP="0078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9D1">
        <w:rPr>
          <w:rFonts w:ascii="Arial" w:hAnsi="Arial" w:cs="Arial"/>
          <w:sz w:val="20"/>
          <w:szCs w:val="20"/>
        </w:rPr>
        <w:t>- l'indemnité applicable aux salariés travaillant ou résidant en région Ile-de-France est fixée au montant forfaitaire mensuel de 20 points ;</w:t>
      </w:r>
      <w:r w:rsidR="00830DC9">
        <w:rPr>
          <w:rFonts w:ascii="Arial" w:hAnsi="Arial" w:cs="Arial"/>
          <w:sz w:val="20"/>
          <w:szCs w:val="20"/>
        </w:rPr>
        <w:t>…</w:t>
      </w:r>
    </w:p>
    <w:p w14:paraId="317CDAB9" w14:textId="77777777" w:rsidR="007829D1" w:rsidRPr="007829D1" w:rsidRDefault="007829D1" w:rsidP="0078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9D1">
        <w:rPr>
          <w:rFonts w:ascii="Arial" w:hAnsi="Arial" w:cs="Arial"/>
          <w:sz w:val="20"/>
          <w:szCs w:val="20"/>
        </w:rPr>
        <w:t>L'indemnité n'est pas proratisée en fonction du temps de travail pour les salariés travaillant à temps partiel.</w:t>
      </w:r>
    </w:p>
    <w:p w14:paraId="1DDFAFF5" w14:textId="77777777" w:rsidR="007829D1" w:rsidRPr="007829D1" w:rsidRDefault="007829D1" w:rsidP="0078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Date de dernière mise à jour : </w:t>
      </w:r>
      <w:r>
        <w:rPr>
          <w:rFonts w:ascii="Arial" w:hAnsi="Arial" w:cs="Arial"/>
          <w:sz w:val="18"/>
          <w:szCs w:val="18"/>
        </w:rPr>
        <w:t>2016-07-09</w:t>
      </w:r>
    </w:p>
    <w:p w14:paraId="296E0370" w14:textId="77777777" w:rsidR="00CD7FDB" w:rsidRPr="00CD7FDB" w:rsidRDefault="00CD7FDB" w:rsidP="00CD7FDB">
      <w:pPr>
        <w:spacing w:after="0"/>
        <w:jc w:val="both"/>
        <w:rPr>
          <w:sz w:val="16"/>
          <w:szCs w:val="16"/>
        </w:rPr>
      </w:pPr>
    </w:p>
    <w:p w14:paraId="7C86AF12" w14:textId="77777777" w:rsidR="00775C68" w:rsidRPr="004330AA" w:rsidRDefault="00775C68" w:rsidP="00CD7FDB">
      <w:pPr>
        <w:spacing w:after="0"/>
        <w:jc w:val="both"/>
        <w:rPr>
          <w:sz w:val="24"/>
          <w:szCs w:val="24"/>
        </w:rPr>
      </w:pPr>
      <w:r w:rsidRPr="004330AA">
        <w:rPr>
          <w:sz w:val="24"/>
          <w:szCs w:val="24"/>
        </w:rPr>
        <w:t xml:space="preserve">A l’URSSAF IDF cette demande faite depuis quelques années </w:t>
      </w:r>
      <w:r w:rsidR="00580C1A" w:rsidRPr="004330AA">
        <w:rPr>
          <w:sz w:val="24"/>
          <w:szCs w:val="24"/>
        </w:rPr>
        <w:t>par le Personnel avait été rejetée par les tutelles.</w:t>
      </w:r>
    </w:p>
    <w:p w14:paraId="55F743C1" w14:textId="77777777" w:rsidR="007E7582" w:rsidRPr="004330AA" w:rsidRDefault="00580C1A" w:rsidP="00CD7FDB">
      <w:pPr>
        <w:spacing w:after="0"/>
        <w:jc w:val="both"/>
        <w:rPr>
          <w:sz w:val="24"/>
          <w:szCs w:val="24"/>
        </w:rPr>
      </w:pPr>
      <w:r w:rsidRPr="004330AA">
        <w:rPr>
          <w:sz w:val="24"/>
          <w:szCs w:val="24"/>
        </w:rPr>
        <w:t>En Î</w:t>
      </w:r>
      <w:r w:rsidR="001A2AF3" w:rsidRPr="004330AA">
        <w:rPr>
          <w:sz w:val="24"/>
          <w:szCs w:val="24"/>
        </w:rPr>
        <w:t xml:space="preserve">le de </w:t>
      </w:r>
      <w:r w:rsidRPr="004330AA">
        <w:rPr>
          <w:sz w:val="24"/>
          <w:szCs w:val="24"/>
        </w:rPr>
        <w:t>France,</w:t>
      </w:r>
      <w:r w:rsidR="001A2AF3" w:rsidRPr="004330AA">
        <w:rPr>
          <w:sz w:val="24"/>
          <w:szCs w:val="24"/>
        </w:rPr>
        <w:t xml:space="preserve"> </w:t>
      </w:r>
      <w:r w:rsidRPr="004330AA">
        <w:rPr>
          <w:sz w:val="24"/>
          <w:szCs w:val="24"/>
        </w:rPr>
        <w:t xml:space="preserve">les </w:t>
      </w:r>
      <w:r w:rsidR="007E7582" w:rsidRPr="004330AA">
        <w:rPr>
          <w:sz w:val="24"/>
          <w:szCs w:val="24"/>
        </w:rPr>
        <w:t>transports</w:t>
      </w:r>
      <w:r w:rsidR="00C65558" w:rsidRPr="004330AA">
        <w:rPr>
          <w:sz w:val="24"/>
          <w:szCs w:val="24"/>
        </w:rPr>
        <w:t xml:space="preserve">, </w:t>
      </w:r>
      <w:r w:rsidRPr="004330AA">
        <w:rPr>
          <w:sz w:val="24"/>
          <w:szCs w:val="24"/>
        </w:rPr>
        <w:t xml:space="preserve">le </w:t>
      </w:r>
      <w:r w:rsidR="001A2AF3" w:rsidRPr="004330AA">
        <w:rPr>
          <w:sz w:val="24"/>
          <w:szCs w:val="24"/>
        </w:rPr>
        <w:t xml:space="preserve">logement, </w:t>
      </w:r>
      <w:r w:rsidRPr="004330AA">
        <w:rPr>
          <w:sz w:val="24"/>
          <w:szCs w:val="24"/>
        </w:rPr>
        <w:t xml:space="preserve">les impôts locaux, </w:t>
      </w:r>
      <w:r w:rsidR="001A2AF3" w:rsidRPr="004330AA">
        <w:rPr>
          <w:sz w:val="24"/>
          <w:szCs w:val="24"/>
        </w:rPr>
        <w:t>la nourriture</w:t>
      </w:r>
      <w:r w:rsidRPr="004330AA">
        <w:rPr>
          <w:sz w:val="24"/>
          <w:szCs w:val="24"/>
        </w:rPr>
        <w:t xml:space="preserve">, </w:t>
      </w:r>
      <w:r w:rsidR="001A2AF3" w:rsidRPr="004330AA">
        <w:rPr>
          <w:sz w:val="24"/>
          <w:szCs w:val="24"/>
        </w:rPr>
        <w:t xml:space="preserve">coûtent </w:t>
      </w:r>
      <w:r w:rsidR="007E7582" w:rsidRPr="004330AA">
        <w:rPr>
          <w:sz w:val="24"/>
          <w:szCs w:val="24"/>
        </w:rPr>
        <w:t xml:space="preserve">beaucoup </w:t>
      </w:r>
      <w:r w:rsidR="001A2AF3" w:rsidRPr="004330AA">
        <w:rPr>
          <w:sz w:val="24"/>
          <w:szCs w:val="24"/>
        </w:rPr>
        <w:t>plus ch</w:t>
      </w:r>
      <w:r w:rsidR="00775C68" w:rsidRPr="004330AA">
        <w:rPr>
          <w:sz w:val="24"/>
          <w:szCs w:val="24"/>
        </w:rPr>
        <w:t>er</w:t>
      </w:r>
      <w:r w:rsidR="005C7E42">
        <w:rPr>
          <w:sz w:val="24"/>
          <w:szCs w:val="24"/>
        </w:rPr>
        <w:t>s</w:t>
      </w:r>
      <w:r w:rsidR="001A2AF3" w:rsidRPr="004330AA">
        <w:rPr>
          <w:sz w:val="24"/>
          <w:szCs w:val="24"/>
        </w:rPr>
        <w:t xml:space="preserve"> comparé au</w:t>
      </w:r>
      <w:r w:rsidRPr="004330AA">
        <w:rPr>
          <w:sz w:val="24"/>
          <w:szCs w:val="24"/>
        </w:rPr>
        <w:t>x autres</w:t>
      </w:r>
      <w:r w:rsidR="00C65558" w:rsidRPr="004330AA">
        <w:rPr>
          <w:sz w:val="24"/>
          <w:szCs w:val="24"/>
        </w:rPr>
        <w:t xml:space="preserve"> régions. </w:t>
      </w:r>
      <w:r w:rsidR="001A2AF3" w:rsidRPr="004330AA">
        <w:rPr>
          <w:sz w:val="24"/>
          <w:szCs w:val="24"/>
        </w:rPr>
        <w:t xml:space="preserve">  </w:t>
      </w:r>
    </w:p>
    <w:p w14:paraId="09EF2F3D" w14:textId="77777777" w:rsidR="001A2AF3" w:rsidRDefault="007E7582" w:rsidP="00CD7FDB">
      <w:pPr>
        <w:spacing w:after="0"/>
        <w:jc w:val="both"/>
        <w:rPr>
          <w:sz w:val="24"/>
          <w:szCs w:val="24"/>
        </w:rPr>
      </w:pPr>
      <w:r w:rsidRPr="004330AA">
        <w:rPr>
          <w:sz w:val="24"/>
          <w:szCs w:val="24"/>
        </w:rPr>
        <w:t>C’est pourquoi,</w:t>
      </w:r>
      <w:r w:rsidR="00580C1A" w:rsidRPr="004330AA">
        <w:rPr>
          <w:sz w:val="24"/>
          <w:szCs w:val="24"/>
        </w:rPr>
        <w:t xml:space="preserve"> Monsieur le Directeur, les salariés de l’URSSAF IDF exigent également l’attribution d’une </w:t>
      </w:r>
      <w:r w:rsidR="003E401F">
        <w:rPr>
          <w:sz w:val="24"/>
          <w:szCs w:val="24"/>
        </w:rPr>
        <w:t>indemnité</w:t>
      </w:r>
      <w:r w:rsidR="00580C1A" w:rsidRPr="004330AA">
        <w:rPr>
          <w:sz w:val="24"/>
          <w:szCs w:val="24"/>
        </w:rPr>
        <w:t xml:space="preserve"> mensuelle de résidence équivalente à 20 points</w:t>
      </w:r>
      <w:r w:rsidR="003E401F">
        <w:rPr>
          <w:sz w:val="24"/>
          <w:szCs w:val="24"/>
        </w:rPr>
        <w:t xml:space="preserve"> par mois</w:t>
      </w:r>
      <w:r w:rsidR="00580C1A" w:rsidRPr="004330AA">
        <w:rPr>
          <w:sz w:val="24"/>
          <w:szCs w:val="24"/>
        </w:rPr>
        <w:t xml:space="preserve">. </w:t>
      </w:r>
      <w:r w:rsidRPr="004330AA">
        <w:rPr>
          <w:sz w:val="24"/>
          <w:szCs w:val="24"/>
        </w:rPr>
        <w:t xml:space="preserve"> </w:t>
      </w:r>
    </w:p>
    <w:bookmarkEnd w:id="0"/>
    <w:p w14:paraId="37F3EEC2" w14:textId="77777777" w:rsidR="00CD7FDB" w:rsidRPr="00CD7FDB" w:rsidRDefault="00CD7FDB" w:rsidP="00CD7FDB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3E401F" w:rsidRPr="003E401F" w14:paraId="363E41C3" w14:textId="77777777" w:rsidTr="003E401F">
        <w:trPr>
          <w:trHeight w:val="510"/>
        </w:trPr>
        <w:tc>
          <w:tcPr>
            <w:tcW w:w="2472" w:type="dxa"/>
          </w:tcPr>
          <w:p w14:paraId="241B59C7" w14:textId="77777777" w:rsidR="003E401F" w:rsidRPr="003E401F" w:rsidRDefault="003E401F" w:rsidP="003E401F">
            <w:pPr>
              <w:jc w:val="center"/>
              <w:rPr>
                <w:b/>
                <w:sz w:val="28"/>
                <w:szCs w:val="28"/>
              </w:rPr>
            </w:pPr>
            <w:r w:rsidRPr="003E401F">
              <w:rPr>
                <w:b/>
                <w:sz w:val="28"/>
                <w:szCs w:val="28"/>
              </w:rPr>
              <w:t>NOMS</w:t>
            </w:r>
          </w:p>
        </w:tc>
        <w:tc>
          <w:tcPr>
            <w:tcW w:w="2472" w:type="dxa"/>
          </w:tcPr>
          <w:p w14:paraId="484FDDD7" w14:textId="77777777" w:rsidR="003E401F" w:rsidRPr="003E401F" w:rsidRDefault="003E401F" w:rsidP="003E401F">
            <w:pPr>
              <w:jc w:val="center"/>
              <w:rPr>
                <w:b/>
                <w:sz w:val="28"/>
                <w:szCs w:val="28"/>
              </w:rPr>
            </w:pPr>
            <w:r w:rsidRPr="003E401F">
              <w:rPr>
                <w:b/>
                <w:sz w:val="28"/>
                <w:szCs w:val="28"/>
              </w:rPr>
              <w:t>SIGNATURES</w:t>
            </w:r>
          </w:p>
        </w:tc>
        <w:tc>
          <w:tcPr>
            <w:tcW w:w="2472" w:type="dxa"/>
          </w:tcPr>
          <w:p w14:paraId="3AFE63F0" w14:textId="77777777" w:rsidR="003E401F" w:rsidRPr="003E401F" w:rsidRDefault="003E401F" w:rsidP="003E401F">
            <w:pPr>
              <w:jc w:val="center"/>
              <w:rPr>
                <w:b/>
                <w:sz w:val="28"/>
                <w:szCs w:val="28"/>
              </w:rPr>
            </w:pPr>
            <w:r w:rsidRPr="003E401F">
              <w:rPr>
                <w:b/>
                <w:sz w:val="28"/>
                <w:szCs w:val="28"/>
              </w:rPr>
              <w:t>NOMS</w:t>
            </w:r>
          </w:p>
        </w:tc>
        <w:tc>
          <w:tcPr>
            <w:tcW w:w="2473" w:type="dxa"/>
          </w:tcPr>
          <w:p w14:paraId="4C4CB811" w14:textId="77777777" w:rsidR="003E401F" w:rsidRPr="003E401F" w:rsidRDefault="003E401F" w:rsidP="003E401F">
            <w:pPr>
              <w:jc w:val="center"/>
              <w:rPr>
                <w:b/>
                <w:sz w:val="28"/>
                <w:szCs w:val="28"/>
              </w:rPr>
            </w:pPr>
            <w:r w:rsidRPr="003E401F">
              <w:rPr>
                <w:b/>
                <w:sz w:val="28"/>
                <w:szCs w:val="28"/>
              </w:rPr>
              <w:t>SIGNATURES</w:t>
            </w:r>
          </w:p>
        </w:tc>
      </w:tr>
      <w:tr w:rsidR="003E401F" w14:paraId="1937601B" w14:textId="77777777" w:rsidTr="003E401F">
        <w:trPr>
          <w:trHeight w:val="567"/>
        </w:trPr>
        <w:tc>
          <w:tcPr>
            <w:tcW w:w="2472" w:type="dxa"/>
          </w:tcPr>
          <w:p w14:paraId="0D6DAAA9" w14:textId="77777777" w:rsidR="003E401F" w:rsidRDefault="003E401F" w:rsidP="000418C0">
            <w:pPr>
              <w:jc w:val="both"/>
            </w:pPr>
          </w:p>
        </w:tc>
        <w:tc>
          <w:tcPr>
            <w:tcW w:w="2472" w:type="dxa"/>
          </w:tcPr>
          <w:p w14:paraId="4338E08C" w14:textId="77777777" w:rsidR="003E401F" w:rsidRDefault="003E401F" w:rsidP="000418C0">
            <w:pPr>
              <w:jc w:val="both"/>
            </w:pPr>
          </w:p>
        </w:tc>
        <w:tc>
          <w:tcPr>
            <w:tcW w:w="2472" w:type="dxa"/>
          </w:tcPr>
          <w:p w14:paraId="780B3BD0" w14:textId="77777777" w:rsidR="003E401F" w:rsidRDefault="003E401F" w:rsidP="000418C0">
            <w:pPr>
              <w:jc w:val="both"/>
            </w:pPr>
          </w:p>
        </w:tc>
        <w:tc>
          <w:tcPr>
            <w:tcW w:w="2473" w:type="dxa"/>
          </w:tcPr>
          <w:p w14:paraId="62029C69" w14:textId="77777777" w:rsidR="003E401F" w:rsidRDefault="003E401F" w:rsidP="000418C0">
            <w:pPr>
              <w:jc w:val="both"/>
            </w:pPr>
          </w:p>
        </w:tc>
      </w:tr>
      <w:tr w:rsidR="00580C1A" w14:paraId="3E1C9595" w14:textId="77777777" w:rsidTr="003E401F">
        <w:trPr>
          <w:trHeight w:val="567"/>
        </w:trPr>
        <w:tc>
          <w:tcPr>
            <w:tcW w:w="2472" w:type="dxa"/>
          </w:tcPr>
          <w:p w14:paraId="7C6EBE3A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3F84AFC8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6058571B" w14:textId="77777777" w:rsidR="00580C1A" w:rsidRDefault="00580C1A" w:rsidP="000418C0">
            <w:pPr>
              <w:jc w:val="both"/>
            </w:pPr>
          </w:p>
        </w:tc>
        <w:tc>
          <w:tcPr>
            <w:tcW w:w="2473" w:type="dxa"/>
          </w:tcPr>
          <w:p w14:paraId="3812A3A4" w14:textId="77777777" w:rsidR="00580C1A" w:rsidRDefault="00580C1A" w:rsidP="000418C0">
            <w:pPr>
              <w:jc w:val="both"/>
            </w:pPr>
          </w:p>
        </w:tc>
      </w:tr>
      <w:tr w:rsidR="00580C1A" w14:paraId="53410096" w14:textId="77777777" w:rsidTr="003E401F">
        <w:trPr>
          <w:trHeight w:val="567"/>
        </w:trPr>
        <w:tc>
          <w:tcPr>
            <w:tcW w:w="2472" w:type="dxa"/>
          </w:tcPr>
          <w:p w14:paraId="69A34826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3813BD89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685B018A" w14:textId="77777777" w:rsidR="00580C1A" w:rsidRDefault="00580C1A" w:rsidP="000418C0">
            <w:pPr>
              <w:jc w:val="both"/>
            </w:pPr>
          </w:p>
        </w:tc>
        <w:tc>
          <w:tcPr>
            <w:tcW w:w="2473" w:type="dxa"/>
          </w:tcPr>
          <w:p w14:paraId="065703FF" w14:textId="77777777" w:rsidR="00580C1A" w:rsidRDefault="00580C1A" w:rsidP="000418C0">
            <w:pPr>
              <w:jc w:val="both"/>
            </w:pPr>
          </w:p>
        </w:tc>
      </w:tr>
      <w:tr w:rsidR="00580C1A" w14:paraId="2DD24871" w14:textId="77777777" w:rsidTr="003E401F">
        <w:trPr>
          <w:trHeight w:val="567"/>
        </w:trPr>
        <w:tc>
          <w:tcPr>
            <w:tcW w:w="2472" w:type="dxa"/>
          </w:tcPr>
          <w:p w14:paraId="7FC0681C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1366F069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6F21B7E5" w14:textId="77777777" w:rsidR="00580C1A" w:rsidRDefault="00580C1A" w:rsidP="000418C0">
            <w:pPr>
              <w:jc w:val="both"/>
            </w:pPr>
          </w:p>
        </w:tc>
        <w:tc>
          <w:tcPr>
            <w:tcW w:w="2473" w:type="dxa"/>
          </w:tcPr>
          <w:p w14:paraId="7B98BE87" w14:textId="77777777" w:rsidR="00580C1A" w:rsidRDefault="00580C1A" w:rsidP="000418C0">
            <w:pPr>
              <w:jc w:val="both"/>
            </w:pPr>
          </w:p>
        </w:tc>
      </w:tr>
      <w:tr w:rsidR="00580C1A" w14:paraId="12456280" w14:textId="77777777" w:rsidTr="003E401F">
        <w:trPr>
          <w:trHeight w:val="567"/>
        </w:trPr>
        <w:tc>
          <w:tcPr>
            <w:tcW w:w="2472" w:type="dxa"/>
          </w:tcPr>
          <w:p w14:paraId="7731D337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4D80DFB6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64133756" w14:textId="77777777" w:rsidR="00580C1A" w:rsidRDefault="00580C1A" w:rsidP="000418C0">
            <w:pPr>
              <w:jc w:val="both"/>
            </w:pPr>
          </w:p>
        </w:tc>
        <w:tc>
          <w:tcPr>
            <w:tcW w:w="2473" w:type="dxa"/>
          </w:tcPr>
          <w:p w14:paraId="503EBF80" w14:textId="77777777" w:rsidR="00580C1A" w:rsidRDefault="00580C1A" w:rsidP="000418C0">
            <w:pPr>
              <w:jc w:val="both"/>
            </w:pPr>
          </w:p>
        </w:tc>
      </w:tr>
      <w:tr w:rsidR="00580C1A" w14:paraId="6F7361A9" w14:textId="77777777" w:rsidTr="003E401F">
        <w:trPr>
          <w:trHeight w:val="567"/>
        </w:trPr>
        <w:tc>
          <w:tcPr>
            <w:tcW w:w="2472" w:type="dxa"/>
          </w:tcPr>
          <w:p w14:paraId="0AE0898B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63094015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74EC545F" w14:textId="77777777" w:rsidR="00580C1A" w:rsidRDefault="00580C1A" w:rsidP="000418C0">
            <w:pPr>
              <w:jc w:val="both"/>
            </w:pPr>
          </w:p>
        </w:tc>
        <w:tc>
          <w:tcPr>
            <w:tcW w:w="2473" w:type="dxa"/>
          </w:tcPr>
          <w:p w14:paraId="296DAC2F" w14:textId="77777777" w:rsidR="00580C1A" w:rsidRDefault="00580C1A" w:rsidP="000418C0">
            <w:pPr>
              <w:jc w:val="both"/>
            </w:pPr>
          </w:p>
        </w:tc>
      </w:tr>
      <w:tr w:rsidR="00580C1A" w14:paraId="636322B3" w14:textId="77777777" w:rsidTr="003E401F">
        <w:trPr>
          <w:trHeight w:val="567"/>
        </w:trPr>
        <w:tc>
          <w:tcPr>
            <w:tcW w:w="2472" w:type="dxa"/>
          </w:tcPr>
          <w:p w14:paraId="38768163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354E8982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20FE1233" w14:textId="77777777" w:rsidR="00580C1A" w:rsidRDefault="00580C1A" w:rsidP="000418C0">
            <w:pPr>
              <w:jc w:val="both"/>
            </w:pPr>
          </w:p>
        </w:tc>
        <w:tc>
          <w:tcPr>
            <w:tcW w:w="2473" w:type="dxa"/>
          </w:tcPr>
          <w:p w14:paraId="4E0CFD6D" w14:textId="77777777" w:rsidR="00580C1A" w:rsidRDefault="00580C1A" w:rsidP="000418C0">
            <w:pPr>
              <w:jc w:val="both"/>
            </w:pPr>
          </w:p>
        </w:tc>
      </w:tr>
      <w:tr w:rsidR="00580C1A" w14:paraId="4D755687" w14:textId="77777777" w:rsidTr="003E401F">
        <w:trPr>
          <w:trHeight w:val="567"/>
        </w:trPr>
        <w:tc>
          <w:tcPr>
            <w:tcW w:w="2472" w:type="dxa"/>
          </w:tcPr>
          <w:p w14:paraId="6D3720A4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76EC17D4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5A5B21B7" w14:textId="77777777" w:rsidR="00580C1A" w:rsidRDefault="00580C1A" w:rsidP="000418C0">
            <w:pPr>
              <w:jc w:val="both"/>
            </w:pPr>
          </w:p>
        </w:tc>
        <w:tc>
          <w:tcPr>
            <w:tcW w:w="2473" w:type="dxa"/>
          </w:tcPr>
          <w:p w14:paraId="75295380" w14:textId="77777777" w:rsidR="00580C1A" w:rsidRDefault="00580C1A" w:rsidP="000418C0">
            <w:pPr>
              <w:jc w:val="both"/>
            </w:pPr>
          </w:p>
        </w:tc>
      </w:tr>
      <w:tr w:rsidR="00580C1A" w14:paraId="5BEDEB39" w14:textId="77777777" w:rsidTr="003E401F">
        <w:trPr>
          <w:trHeight w:val="567"/>
        </w:trPr>
        <w:tc>
          <w:tcPr>
            <w:tcW w:w="2472" w:type="dxa"/>
          </w:tcPr>
          <w:p w14:paraId="29854ACB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799307BD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189CCE21" w14:textId="77777777" w:rsidR="00580C1A" w:rsidRDefault="00580C1A" w:rsidP="000418C0">
            <w:pPr>
              <w:jc w:val="both"/>
            </w:pPr>
          </w:p>
        </w:tc>
        <w:tc>
          <w:tcPr>
            <w:tcW w:w="2473" w:type="dxa"/>
          </w:tcPr>
          <w:p w14:paraId="529C9431" w14:textId="77777777" w:rsidR="00580C1A" w:rsidRDefault="00580C1A" w:rsidP="000418C0">
            <w:pPr>
              <w:jc w:val="both"/>
            </w:pPr>
          </w:p>
        </w:tc>
      </w:tr>
      <w:tr w:rsidR="00580C1A" w14:paraId="02FE79D7" w14:textId="77777777" w:rsidTr="003E401F">
        <w:trPr>
          <w:trHeight w:val="567"/>
        </w:trPr>
        <w:tc>
          <w:tcPr>
            <w:tcW w:w="2472" w:type="dxa"/>
          </w:tcPr>
          <w:p w14:paraId="5165D83A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4B24FFD6" w14:textId="77777777" w:rsidR="00580C1A" w:rsidRDefault="00580C1A" w:rsidP="000418C0">
            <w:pPr>
              <w:jc w:val="both"/>
            </w:pPr>
          </w:p>
        </w:tc>
        <w:tc>
          <w:tcPr>
            <w:tcW w:w="2472" w:type="dxa"/>
          </w:tcPr>
          <w:p w14:paraId="65779B9E" w14:textId="77777777" w:rsidR="00580C1A" w:rsidRDefault="00580C1A" w:rsidP="000418C0">
            <w:pPr>
              <w:jc w:val="both"/>
            </w:pPr>
          </w:p>
        </w:tc>
        <w:tc>
          <w:tcPr>
            <w:tcW w:w="2473" w:type="dxa"/>
          </w:tcPr>
          <w:p w14:paraId="3899E54C" w14:textId="77777777" w:rsidR="00580C1A" w:rsidRDefault="00580C1A" w:rsidP="000418C0">
            <w:pPr>
              <w:jc w:val="both"/>
            </w:pPr>
          </w:p>
        </w:tc>
      </w:tr>
    </w:tbl>
    <w:p w14:paraId="7794EFCA" w14:textId="77777777" w:rsidR="0035797F" w:rsidRDefault="00F74659" w:rsidP="00CD7FDB">
      <w:pPr>
        <w:jc w:val="both"/>
      </w:pPr>
    </w:p>
    <w:sectPr w:rsidR="0035797F" w:rsidSect="003E401F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C2"/>
    <w:rsid w:val="000418C0"/>
    <w:rsid w:val="000A0D0F"/>
    <w:rsid w:val="0012147D"/>
    <w:rsid w:val="0013696F"/>
    <w:rsid w:val="001A2AF3"/>
    <w:rsid w:val="00257293"/>
    <w:rsid w:val="00375032"/>
    <w:rsid w:val="003E401F"/>
    <w:rsid w:val="004330AA"/>
    <w:rsid w:val="00483D45"/>
    <w:rsid w:val="0051170D"/>
    <w:rsid w:val="005601F7"/>
    <w:rsid w:val="00580C1A"/>
    <w:rsid w:val="00595DFB"/>
    <w:rsid w:val="005B79C8"/>
    <w:rsid w:val="005C7E42"/>
    <w:rsid w:val="005D4D07"/>
    <w:rsid w:val="006264FF"/>
    <w:rsid w:val="00633B28"/>
    <w:rsid w:val="00684FC2"/>
    <w:rsid w:val="0073105B"/>
    <w:rsid w:val="00775C68"/>
    <w:rsid w:val="007829D1"/>
    <w:rsid w:val="007E7582"/>
    <w:rsid w:val="00830DC9"/>
    <w:rsid w:val="008B0EE6"/>
    <w:rsid w:val="00A74CC8"/>
    <w:rsid w:val="00AB394A"/>
    <w:rsid w:val="00AD49EA"/>
    <w:rsid w:val="00B3704D"/>
    <w:rsid w:val="00B847E3"/>
    <w:rsid w:val="00C15A7A"/>
    <w:rsid w:val="00C36F83"/>
    <w:rsid w:val="00C65558"/>
    <w:rsid w:val="00C77CE6"/>
    <w:rsid w:val="00CD7FDB"/>
    <w:rsid w:val="00CE5CFD"/>
    <w:rsid w:val="00D26E54"/>
    <w:rsid w:val="00DF65D5"/>
    <w:rsid w:val="00E54EAA"/>
    <w:rsid w:val="00F74659"/>
    <w:rsid w:val="00F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F1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36F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0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 de Microsoft Office</cp:lastModifiedBy>
  <cp:revision>2</cp:revision>
  <cp:lastPrinted>2018-02-22T16:17:00Z</cp:lastPrinted>
  <dcterms:created xsi:type="dcterms:W3CDTF">2018-03-28T17:11:00Z</dcterms:created>
  <dcterms:modified xsi:type="dcterms:W3CDTF">2018-03-28T17:11:00Z</dcterms:modified>
</cp:coreProperties>
</file>